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soglia</w:t>
      </w:r>
    </w:p>
    <w:p>
      <w:pPr>
        <w:pStyle w:val="ActoMeta"/>
      </w:pPr>
      <w:r>
        <w:t xml:space="preserve">Dramma  ·  Scena a due  ·  1 min  ·  Ruolo maschile  ·  Giovane adulto  ·  Avanzato</w:t>
      </w:r>
    </w:p>
    <w:p>
      <w:pPr>
        <w:pStyle w:val="ActoDida"/>
      </w:pPr>
      <w:r>
        <w:t xml:space="preserve">(Davanti a una porta chiusa. Théa sbarra il passo a Elia.)</w:t>
      </w:r>
    </w:p>
    <w:p>
      <w:pPr>
        <w:pStyle w:val="ActoWho"/>
      </w:pPr>
      <w:r>
        <w:t xml:space="preserve">THÉA</w:t>
      </w:r>
    </w:p>
    <w:p>
      <w:pPr>
        <w:pStyle w:val="ActoSaid"/>
      </w:pPr>
      <w:r>
        <w:t xml:space="preserve">Un passo ancora e non sarai più mio fratello, ma il suo assassino.</w:t>
      </w:r>
    </w:p>
    <w:p>
      <w:pPr>
        <w:pStyle w:val="ActoWho"/>
      </w:pPr>
      <w:r>
        <w:t xml:space="preserve">ELIA</w:t>
      </w:r>
    </w:p>
    <w:p>
      <w:pPr>
        <w:pStyle w:val="ActoSaid"/>
      </w:pPr>
      <w:r>
        <w:t xml:space="preserve">Sarò solo la mano. La sentenza l’ha pronunciata il sangue, non io.</w:t>
      </w:r>
    </w:p>
    <w:p>
      <w:pPr>
        <w:pStyle w:val="ActoWho"/>
      </w:pPr>
      <w:r>
        <w:t xml:space="preserve">THÉA</w:t>
      </w:r>
    </w:p>
    <w:p>
      <w:pPr>
        <w:pStyle w:val="ActoSaid"/>
      </w:pPr>
      <w:r>
        <w:t xml:space="preserve">Il sangue non tiene il coltello. Tu sì.</w:t>
      </w:r>
    </w:p>
    <w:p>
      <w:pPr>
        <w:pStyle w:val="ActoWho"/>
      </w:pPr>
      <w:r>
        <w:t xml:space="preserve">ELIA</w:t>
      </w:r>
    </w:p>
    <w:p>
      <w:pPr>
        <w:pStyle w:val="ActoSaid"/>
      </w:pPr>
      <w:r>
        <w:t xml:space="preserve">E se indietreggio? Diranno che un uomo ha avuto paura dove l’onore comandava.</w:t>
      </w:r>
    </w:p>
    <w:p>
      <w:pPr>
        <w:pStyle w:val="ActoWho"/>
      </w:pPr>
      <w:r>
        <w:t xml:space="preserve">THÉA</w:t>
      </w:r>
    </w:p>
    <w:p>
      <w:pPr>
        <w:pStyle w:val="ActoSaid"/>
      </w:pPr>
      <w:r>
        <w:t xml:space="preserve">Diranno che un uomo ha preferito vivere odiato piuttosto che morire secondo le regole. È così terribile?</w:t>
      </w:r>
    </w:p>
    <w:p>
      <w:pPr>
        <w:pStyle w:val="ActoWho"/>
      </w:pPr>
      <w:r>
        <w:t xml:space="preserve">ELIA</w:t>
      </w:r>
    </w:p>
    <w:p>
      <w:pPr>
        <w:pStyle w:val="ActoSaid"/>
      </w:pPr>
      <w:r>
        <w:t xml:space="preserve">Sì. Per quelli come noi, sì.</w:t>
      </w:r>
    </w:p>
    <w:p>
      <w:pPr>
        <w:pStyle w:val="ActoDida"/>
      </w:pPr>
      <w:r>
        <w:t xml:space="preserve">(Si scosta lentamente.)</w:t>
      </w:r>
    </w:p>
    <w:p>
      <w:pPr>
        <w:pStyle w:val="ActoWho"/>
      </w:pPr>
      <w:r>
        <w:t xml:space="preserve">THÉA</w:t>
      </w:r>
    </w:p>
    <w:p>
      <w:pPr>
        <w:pStyle w:val="ActoSaid"/>
      </w:pPr>
      <w:r>
        <w:t xml:space="preserve">Allora passa. Ma sappilo: questa soglia, una volta varcata, non si varca mai in senso opposto.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soglia</dc:title>
  <dc:creator>Acto</dc:creator>
  <cp:keywords>Dramma  ·  Scena a due  ·  1 min  ·  Ruolo maschile  ·  Giovane adulto  ·  Avanzato</cp:keywords>
  <dc:description>https://acto.re</dc:description>
  <dc:language>it</dc:language>
</cp:coreProperties>
</file>