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O rabbia, o disperazione</w:t>
      </w:r>
    </w:p>
    <w:p>
      <w:pPr>
        <w:pStyle w:val="ActoMeta"/>
      </w:pPr>
      <w:r>
        <w:t xml:space="preserve">Dramma  ·  Monologo  ·  2 min  ·  Ruolo maschile  ·  Senior  ·  Avanzato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Oh rabbia! Oh disperazione! Oh vecchiaia nemica!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Ho dunque vissuto tanto solo per questa infamia?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E sono incanutito nelle fatiche della guerra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solo per vedere in un giorno appassire tanti allori?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Il mio braccio, che tutta la Spagna ammira con rispetto,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il mio braccio, che tante volte ha salvato questo impero,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tradisce dunque la mia causa, e non fa nulla per me?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di dominio pubblico (Corneille : Le Cid, acte I). È di tutti, te compreso: nessun permesso da chiedere, per nessun uso.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 rabbia, o disperazione</dc:title>
  <dc:creator>Acto</dc:creator>
  <cp:keywords>Dramma  ·  Monologo  ·  2 min  ·  Ruolo maschile  ·  Senior  ·  Avanzato</cp:keywords>
  <dc:description>https://acto.re</dc:description>
  <dc:language>it</dc:language>
</cp:coreProperties>
</file>