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Rayez cela de vos papiers</w:t>
      </w:r>
    </w:p>
    <w:p>
      <w:pPr>
        <w:pStyle w:val="ActoMeta"/>
      </w:pPr>
      <w:r>
        <w:t xml:space="preserve">Satirique  ·  Scène à deux  ·  2 min  ·  Rôle masculin  ·  Adulte  ·  Avancé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Qu’est-ce donc ? Qu’avez-vous ?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Laissez-moi, je vous prie.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Mais encor, dites-moi quelle bizarrerie…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Laissez-moi là, vous dis-je, et courez vous cacher.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Mais on entend les gens au moins sans se fâcher.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Moi, je veux me fâcher, et ne veux point entendre.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Dans vos brusques chagrins je ne puis vous comprendre,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Et, quoique amis enfin, je suis tout des premiers…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Moi, votre ami ? Rayez cela de vos papiers.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du domaine public (Molière : Le Misanthrope, acte I). Il appartient à tout le monde, toi comprise et toi compris : aucune autorisation à demander, pour aucun usage.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Rayez cela de vos papiers</dc:title>
  <dc:creator>Acto</dc:creator>
  <cp:keywords>Satirique  ·  Scène à deux  ·  2 min  ·  Rôle masculin  ·  Adulte  ·  Avancé</cp:keywords>
  <dc:description>https://acto.re</dc:description>
  <dc:language>fr</dc:language>
</cp:coreProperties>
</file>