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Le voisin</w:t>
      </w:r>
    </w:p>
    <w:p>
      <w:pPr>
        <w:pStyle w:val="ActoMeta"/>
      </w:pPr>
      <w:r>
        <w:t xml:space="preserve">Fantastique  ·  Scène à deux  ·  4 min  ·  Rôle féminin  ·  Adulte  ·  Intermédiaire</w:t>
      </w:r>
    </w:p>
    <w:p>
      <w:pPr>
        <w:pStyle w:val="ActoDida"/>
      </w:pPr>
      <w:r>
        <w:t xml:space="preserve">(Une cave d’immeuble. Elle a trouvé une boîte de vieilles photos ; son voisin l’aide à trier.)</w:t>
      </w:r>
    </w:p>
    <w:p>
      <w:pPr>
        <w:pStyle w:val="ActoWho"/>
      </w:pPr>
      <w:r>
        <w:t xml:space="preserve">ELLE</w:t>
      </w:r>
    </w:p>
    <w:p>
      <w:pPr>
        <w:pStyle w:val="ActoSaid"/>
      </w:pPr>
      <w:r>
        <w:t xml:space="preserve">Regardez, celle-là date de l’inauguration de l’immeuble. 1912. Tous ces gens endimanchés devant la porte.</w:t>
      </w:r>
    </w:p>
    <w:p>
      <w:pPr>
        <w:pStyle w:val="ActoWho"/>
      </w:pPr>
      <w:r>
        <w:t xml:space="preserve">LUI</w:t>
      </w:r>
    </w:p>
    <w:p>
      <w:pPr>
        <w:pStyle w:val="ActoSaid"/>
      </w:pPr>
      <w:r>
        <w:t xml:space="preserve">Ah oui. Il faisait un froid ce jour-là. On a écourté les discours.</w:t>
      </w:r>
    </w:p>
    <w:p>
      <w:pPr>
        <w:pStyle w:val="ActoDida"/>
      </w:pPr>
      <w:r>
        <w:t xml:space="preserve">(Elle rit.)</w:t>
      </w:r>
    </w:p>
    <w:p>
      <w:pPr>
        <w:pStyle w:val="ActoWho"/>
      </w:pPr>
      <w:r>
        <w:t xml:space="preserve">ELLE</w:t>
      </w:r>
    </w:p>
    <w:p>
      <w:pPr>
        <w:pStyle w:val="ActoSaid"/>
      </w:pPr>
      <w:r>
        <w:t xml:space="preserve">« On » ? Vous n’étiez pas né, voyons.</w:t>
      </w:r>
    </w:p>
    <w:p>
      <w:pPr>
        <w:pStyle w:val="ActoWho"/>
      </w:pPr>
      <w:r>
        <w:t xml:space="preserve">LUI</w:t>
      </w:r>
    </w:p>
    <w:p>
      <w:pPr>
        <w:pStyle w:val="ActoSaid"/>
      </w:pPr>
      <w:r>
        <w:t xml:space="preserve">Façon de parler.</w:t>
      </w:r>
    </w:p>
    <w:p>
      <w:pPr>
        <w:pStyle w:val="ActoDida"/>
      </w:pPr>
      <w:r>
        <w:t xml:space="preserve">(Elle approche la photo. Au troisième rang, un homme. Son voisin. Le même. Exactement le même.)</w:t>
      </w:r>
    </w:p>
    <w:p>
      <w:pPr>
        <w:pStyle w:val="ActoWho"/>
      </w:pPr>
      <w:r>
        <w:t xml:space="preserve">ELLE</w:t>
      </w:r>
    </w:p>
    <w:p>
      <w:pPr>
        <w:pStyle w:val="ActoSaid"/>
      </w:pPr>
      <w:r>
        <w:t xml:space="preserve">…C’est vous. Sur la photo de 1912. Le même visage. La même petite cicatrice, là, au sourcil.</w:t>
      </w:r>
    </w:p>
    <w:p>
      <w:pPr>
        <w:pStyle w:val="ActoWho"/>
      </w:pPr>
      <w:r>
        <w:t xml:space="preserve">LUI</w:t>
      </w:r>
    </w:p>
    <w:p>
      <w:pPr>
        <w:pStyle w:val="ActoSaid"/>
      </w:pPr>
      <w:r>
        <w:t xml:space="preserve">Je me demandais quand vous alliez la trouver, cette boîte. Chaque locataire finit par la trouver. Et chaque fois, je dois déménager. Recommencer ailleurs, sous un autre nom.</w:t>
      </w:r>
    </w:p>
    <w:p>
      <w:pPr>
        <w:pStyle w:val="ActoWho"/>
      </w:pPr>
      <w:r>
        <w:t xml:space="preserve">ELLE</w:t>
      </w:r>
    </w:p>
    <w:p>
      <w:pPr>
        <w:pStyle w:val="ActoSaid"/>
      </w:pPr>
      <w:r>
        <w:t xml:space="preserve">Depuis combien de temps vous habitez ici ?</w:t>
      </w:r>
    </w:p>
    <w:p>
      <w:pPr>
        <w:pStyle w:val="ActoWho"/>
      </w:pPr>
      <w:r>
        <w:t xml:space="preserve">LUI</w:t>
      </w:r>
    </w:p>
    <w:p>
      <w:pPr>
        <w:pStyle w:val="ActoSaid"/>
      </w:pPr>
      <w:r>
        <w:t xml:space="preserve">Assez pour avoir vu partir tous ceux qui me posaient cette question. C’est ça, le plus long, dans une vie très longue. Ce n’est pas de rester. C’est de regarder les autres ne pas rester.</w:t>
      </w:r>
    </w:p>
    <w:p>
      <w:pPr>
        <w:pStyle w:val="ActoMeta"/>
      </w:pPr>
      <w:r>
        <w:t xml:space="preserve"/>
      </w:r>
    </w:p>
    <w:p>
      <w:pPr>
        <w:pStyle w:val="ActoHeading"/>
      </w:pPr>
      <w:r>
        <w:t xml:space="preserve">Ce que tu peux en faire</w:t>
      </w:r>
    </w:p>
    <w:p>
      <w:pPr>
        <w:pStyle w:val="ActoMeta"/>
      </w:pPr>
      <w:r>
        <w:t xml:space="preserve">Texte original écrit pour Acto. Lis-le, imprime-le, travaille-le en cours, joue-le en audition ou en self-tape : c’est fait pour ça, et tu n’as rien à demander. Pour une représentation publique ou un usage commercial, écris-nous à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Le voisin</dc:title>
  <dc:creator>Acto</dc:creator>
  <cp:keywords>Fantastique  ·  Scène à deux  ·  4 min  ·  Rôle féminin  ·  Adulte  ·  Intermédiaire</cp:keywords>
  <dc:description>https://acto.re</dc:description>
  <dc:language>fr</dc:language>
</cp:coreProperties>
</file>