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scène du balcon</w:t>
      </w:r>
    </w:p>
    <w:p>
      <w:pPr>
        <w:pStyle w:val="ActoMeta"/>
      </w:pPr>
      <w:r>
        <w:t xml:space="preserve">Comédie romantique  ·  Scène à deux  ·  3 min  ·  Rôle féminin  ·  Adolescent  ·  Avancé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Ô Roméo, Roméo ! pourquoi es-tu Roméo 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Renie ton père et refuse ton nom 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ou, si tu ne le veux pas, jure-moi ton amour, et je ne serai plus une Capulet.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Dois-je en écouter davantage, ou répondre à présent 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Ce n’est que ton nom qui est mon ennemi 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tu es toi-même, même sans être un Montaigu.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Qu’y a-t-il dans un nom ? Ce que nous appelons rose embaumerait autant sous un autre nom.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Je te prends au mot. Nomme-moi seulement « amour », et je serai rebaptisé.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du domaine public (Shakespeare : Roméo et Juliette, acte II). Il appartient à tout le monde, toi comprise et toi compris : aucune autorisation à demander, pour aucun usage.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scène du balcon</dc:title>
  <dc:creator>Acto</dc:creator>
  <cp:keywords>Comédie romantique  ·  Scène à deux  ·  3 min  ·  Rôle féminin  ·  Adolescent  ·  Avancé</cp:keywords>
  <dc:description>https://acto.re</dc:description>
  <dc:language>fr</dc:language>
</cp:coreProperties>
</file>