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Ô rage, ô désespoir</w:t>
      </w:r>
    </w:p>
    <w:p>
      <w:pPr>
        <w:pStyle w:val="ActoMeta"/>
      </w:pPr>
      <w:r>
        <w:t xml:space="preserve">Drame  ·  Monologue  ·  2 min  ·  Rôle masculin  ·  Senior  ·  Avancé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Ô rage ! ô désespoir ! ô vieillesse ennemie !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N’ai-je donc tant vécu que pour cette infamie ?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Et ne suis-je blanchi dans les travaux guerriers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Que pour voir en un jour flétrir tant de lauriers ?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Mon bras, qu’avec respect toute l’Espagne admire,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Mon bras, qui tant de fois a sauvé cet empire,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Trahit donc ma querelle, et ne fait rien pour moi 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du domaine public (Corneille : Le Cid, acte I). Il appartient à tout le monde, toi comprise et toi compris : aucune autorisation à demander, pour aucun usage.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Ô rage, ô désespoir</dc:title>
  <dc:creator>Acto</dc:creator>
  <cp:keywords>Drame  ·  Monologue  ·  2 min  ·  Rôle masculin  ·  Senior  ·  Avancé</cp:keywords>
  <dc:description>https://acto.re</dc:description>
  <dc:language>fr</dc:language>
</cp:coreProperties>
</file>