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escena del balcón</w:t>
      </w:r>
    </w:p>
    <w:p>
      <w:pPr>
        <w:pStyle w:val="ActoMeta"/>
      </w:pPr>
      <w:r>
        <w:t xml:space="preserve">Comedia romántica  ·  Escena para dos  ·  3 min  ·  Papel femenino  ·  Adolescente  ·  Avanzado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¡Oh Romeo, Romeo! ¿Por qué eres Romeo?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Niega a tu padre y rechaza tu nombre;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o, si no quieres, júrame tu amor, y dejaré de ser una Capuleto.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¿Sigo escuchando, o hablo ahora?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Solo tu nombre es mi enemigo;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tú eres tú mismo, aunque no seas un Montesco.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¿Qué hay en un nombre? Eso que llamamos rosa, con cualquier otro nombre olería igual de dulce.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Te tomo la palabra. Llámame solo «amor», y seré bautizado de nuevo.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de dominio público (Shakespeare : Roméo et Juliette, acte II). Es de todos, tú incluido: ningún permiso que pedir, para ningún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escena del balcón</dc:title>
  <dc:creator>Acto</dc:creator>
  <cp:keywords>Comedia romántica  ·  Escena para dos  ·  3 min  ·  Papel femenino  ·  Adolescente  ·  Avanzado</cp:keywords>
  <dc:description>https://acto.re</dc:description>
  <dc:language>es</dc:language>
</cp:coreProperties>
</file>