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cuenta</w:t>
      </w:r>
    </w:p>
    <w:p>
      <w:pPr>
        <w:pStyle w:val="ActoMeta"/>
      </w:pPr>
      <w:r>
        <w:t xml:space="preserve">Comedia  ·  Escena para 3  ·  1 min  ·  Papel masculino  ·  Joven adulto  ·  Principiante</w:t>
      </w:r>
    </w:p>
    <w:p>
      <w:pPr>
        <w:pStyle w:val="ActoDida"/>
      </w:pPr>
      <w:r>
        <w:t xml:space="preserve">(Fin de la comida. El camarero dejó una sola cuenta.)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Bueno, ¿dividimos en tres? Fácil.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Salvo que yo pedí una ensalada. Tú, Karl, pediste… la carta.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Probé. Probar no es comer.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«Probaste» tres postres, Karl.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Control de calidad. En realidad os hago un favor.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O sea, quieres que te paguemos por comerte nuestros postres.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«Pagar» es mucho decir. Digamos: reconocer.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¡Camarero! Tres cuentas. Y una medalla para el señor.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cuenta</dc:title>
  <dc:creator>Acto</dc:creator>
  <cp:keywords>Comedia  ·  Escena para 3  ·  1 min  ·  Papel masculino  ·  Joven adulto  ·  Principiante</cp:keywords>
  <dc:description>https://acto.re</dc:description>
  <dc:language>es</dc:language>
</cp:coreProperties>
</file>