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Opening</w:t>
      </w:r>
    </w:p>
    <w:p>
      <w:pPr>
        <w:pStyle w:val="ActoMeta"/>
      </w:pPr>
      <w:r>
        <w:t xml:space="preserve">Comedy  ·  Monologue  ·  1 min  ·  No gender marker  ·  Adult  ·  Beginner</w:t>
      </w:r>
    </w:p>
    <w:p>
      <w:pPr>
        <w:pStyle w:val="ActoDida"/>
      </w:pPr>
      <w:r>
        <w:t xml:space="preserve">(An art gallery. Someone contemplates a white square.)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Magnificent. Absolutely magnificent. I understand nothing, but with rare intensity.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What moves me, you see, is the emptiness. No, the fullness. Well, the full emptiness. Very Japanese. Or very overdue for delivery, I can’t tell yet.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I’m told it’s a critique of capitalism. At twelve thousand euros, I’d call it: brilliantly argued.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Between us? I think it’s the wall. I think we’re admiring the wall and the painting fell off.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But say nothing. In art, being right too soon is the worst kind of snobbery.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Opening</dc:title>
  <dc:creator>Acto</dc:creator>
  <cp:keywords>Comedy  ·  Monologue  ·  1 min  ·  No gender marker  ·  Adult  ·  Beginner</cp:keywords>
  <dc:description>https://acto.re</dc:description>
  <dc:language>en</dc:language>
</cp:coreProperties>
</file>