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Flatshare</w:t>
      </w:r>
    </w:p>
    <w:p>
      <w:pPr>
        <w:pStyle w:val="ActoMeta"/>
      </w:pPr>
      <w:r>
        <w:t xml:space="preserve">Comedy  ·  Scene for 3  ·  2 min  ·  No gender marker  ·  Young adult  ·  Beginner</w:t>
      </w:r>
    </w:p>
    <w:p>
      <w:pPr>
        <w:pStyle w:val="ActoDida"/>
      </w:pPr>
      <w:r>
        <w:t xml:space="preserve">(A chore chart covers the entire fridge.)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New rules. I made a chart. With colours.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Basile, there are more columns than there are dishes in this kitchen.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I’m in purple. Why am I in purple?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Purple means “responsible for the general harmony.”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So I do nothing, but if it goes wrong, it’s my fault?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Welcome to management, Nour.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The chart is very clear. Box 4B: “Who let the yoghurt turn into a civilisation?”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 I plead guilty to the civilisation. But it was peaceful.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Can’t we just do the dishes in turns, like humans?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… That, I hadn’t thought of. But it doesn’t have a colour.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Flatshare</dc:title>
  <dc:creator>Acto</dc:creator>
  <cp:keywords>Comedy  ·  Scene for 3  ·  2 min  ·  No gender marker  ·  Young adult  ·  Beginner</cp:keywords>
  <dc:description>https://acto.re</dc:description>
  <dc:language>en</dc:language>
</cp:coreProperties>
</file>