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Balcony Scene</w:t>
      </w:r>
    </w:p>
    <w:p>
      <w:pPr>
        <w:pStyle w:val="ActoMeta"/>
      </w:pPr>
      <w:r>
        <w:t xml:space="preserve">Romantic comedy  ·  Two-hander  ·  3 min  ·  Female role  ·  Teen  ·  Advanced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O Romeo, Romeo, wherefore art thou Romeo?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Deny thy father and refuse thy name;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or, if thou wilt not, be but sworn my love, and I’ll no longer be a Capulet.</w:t>
      </w:r>
    </w:p>
    <w:p>
      <w:pPr>
        <w:pStyle w:val="ActoWho"/>
      </w:pPr>
      <w:r>
        <w:t xml:space="preserve">ROMÉO</w:t>
      </w:r>
    </w:p>
    <w:p>
      <w:pPr>
        <w:pStyle w:val="ActoSaid"/>
      </w:pPr>
      <w:r>
        <w:t xml:space="preserve">Shall I hear more, or shall I speak at this?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’Tis but thy name that is my enemy;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thou art thyself, though not a Montague.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What’s in a name? That which we call a rose by any other name would smell as sweet.</w:t>
      </w:r>
    </w:p>
    <w:p>
      <w:pPr>
        <w:pStyle w:val="ActoWho"/>
      </w:pPr>
      <w:r>
        <w:t xml:space="preserve">ROMÉO</w:t>
      </w:r>
    </w:p>
    <w:p>
      <w:pPr>
        <w:pStyle w:val="ActoSaid"/>
      </w:pPr>
      <w:r>
        <w:t xml:space="preserve">I take thee at thy word. Call me but love, and I’ll be new baptized.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Public domain text (Shakespeare : Roméo et Juliette, acte II). It belongs to everyone, you included: no permission to ask, for any use.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Balcony Scene</dc:title>
  <dc:creator>Acto</dc:creator>
  <cp:keywords>Romantic comedy  ·  Two-hander  ·  3 min  ·  Female role  ·  Teen  ·  Advanced</cp:keywords>
  <dc:description>https://acto.re</dc:description>
  <dc:language>en</dc:language>
</cp:coreProperties>
</file>