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odttf" ContentType="application/vnd.openxmlformats-officedocument.obfuscatedFont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Relationship Id="rId2" Type="http://schemas.openxmlformats.org/package/2006/relationships/metadata/core-properties" Target="docProps/core.xml"/>
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spacing w:after="240"/>
      </w:pPr>
      <w:r>
        <w:drawing>
          <wp:inline distT="0" distB="0" distL="0" distR="0">
            <wp:extent cx="955472" cy="304800"/>
            <wp:docPr id="1" name="Acto"/>
            <a:graphic>
              <a:graphicData uri="http://schemas.openxmlformats.org/drawingml/2006/picture">
                <pic:pic>
                  <pic:nvPicPr>
                    <pic:cNvPr id="0" name="acto-logo.png"/>
                    <pic:cNvPicPr/>
                  </pic:nvPicPr>
                  <pic:blipFill>
                    <a:blip r:embed="rIdLogo"/>
                    <a:stretch>
                      <a:fillRect/>
                    </a:stretch>
                  </pic:blipFill>
                  <pic:spPr>
                    <a:xfrm>
                      <a:off x="0" y="0"/>
                      <a:ext cx="955472" cy="30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pStyle w:val="ActoTitle"/>
      </w:pPr>
      <w:r>
        <w:t xml:space="preserve">Das Alibi</w:t>
      </w:r>
    </w:p>
    <w:p>
      <w:pPr>
        <w:pStyle w:val="ActoMeta"/>
      </w:pPr>
      <w:r>
        <w:t xml:space="preserve">Thriller  ·  Szene zu 3  ·  4 Min.  ·  Weibliche Rolle  ·  Erwachsene  ·  Fortgeschritten</w:t>
      </w:r>
    </w:p>
    <w:p>
      <w:pPr>
        <w:pStyle w:val="ActoDida"/>
      </w:pPr>
      <w:r>
        <w:t xml:space="preserve">(Ein Wohnzimmer. Der Inspektor, stehend. Nora und Vincent, sitzend, sehen sich nicht an.)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Sie sagen beide, den Abend hier verbracht zu haben. Zusammen. Beim Filmschauen.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Das stimmt. Der Film um 20:50.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Wir sind vor dem Ende eingeschlafen. Gegen 22 Uhr.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Welcher Film?</w:t>
      </w:r>
    </w:p>
    <w:p>
      <w:pPr>
        <w:pStyle w:val="ActoWho"/>
      </w:pPr>
      <w:r>
        <w:t xml:space="preserve">NORA</w:t>
      </w:r>
    </w:p>
    <w:p>
      <w:pPr>
        <w:pStyle w:val="ActoSaid"/>
      </w:pPr>
      <w:r>
        <w:t xml:space="preserve">Ein Krimi. Mit… diesem Schauspieler. Dem Großen.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Eine Komödie. Wir haben viel gelacht.</w:t>
      </w:r>
    </w:p>
    <w:p>
      <w:pPr>
        <w:pStyle w:val="ActoDida"/>
      </w:pPr>
      <w:r>
        <w:t xml:space="preserve">(Ein Schweigen. Nora schließt die Augen.)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Also ein Krimi, bei dem man viel lacht. Faszinierend. Sie hätten sich vorher im Auto abstimmen sollen. Da baut man Alibis. Nicht in meinem Wohnzimmer.</w:t>
      </w:r>
    </w:p>
    <w:p>
      <w:pPr>
        <w:pStyle w:val="ActoWho"/>
      </w:pPr>
      <w:r>
        <w:t xml:space="preserve">VINCENT</w:t>
      </w:r>
    </w:p>
    <w:p>
      <w:pPr>
        <w:pStyle w:val="ActoSaid"/>
      </w:pPr>
      <w:r>
        <w:t xml:space="preserve">…Können wir einen Anwalt anrufen?</w:t>
      </w:r>
    </w:p>
    <w:p>
      <w:pPr>
        <w:pStyle w:val="ActoWho"/>
      </w:pPr>
      <w:r>
        <w:t xml:space="preserve">L’INSPECTEUR</w:t>
      </w:r>
    </w:p>
    <w:p>
      <w:pPr>
        <w:pStyle w:val="ActoSaid"/>
      </w:pPr>
      <w:r>
        <w:t xml:space="preserve">Zwei. Nehmen Sie zwei. Ab jetzt haben Sie nicht mehr dieselbe Geschichte zu verteidigen.</w:t>
      </w:r>
    </w:p>
    <w:p>
      <w:pPr>
        <w:pStyle w:val="ActoMeta"/>
      </w:pPr>
      <w:r>
        <w:t xml:space="preserve"/>
      </w:r>
    </w:p>
    <w:p>
      <w:pPr>
        <w:pStyle w:val="ActoHeading"/>
      </w:pPr>
      <w:r>
        <w:t xml:space="preserve">Was du damit machen darfst</w:t>
      </w:r>
    </w:p>
    <w:p>
      <w:pPr>
        <w:pStyle w:val="ActoMeta"/>
      </w:pPr>
      <w:r>
        <w:t xml:space="preserve">Originaltext, geschrieben für Acto. Lies ihn, druck ihn, arbeite ihn im Unterricht, spiel ihn beim Vorsprechen oder im Self-Tape: dafür ist er da, und du musst niemanden fragen. Für eine öffentliche Aufführung oder eine kommerzielle Nutzung schreib uns an contact@acto.re.</w:t>
      </w:r>
    </w:p>
    <w:p>
      <w:pPr>
        <w:pStyle w:val="ActoMeta"/>
      </w:pPr>
      <w:r>
        <w:t xml:space="preserve">acto.re</w:t>
      </w:r>
    </w:p>
    <w:sectPr>
      <w:pgSz w:w="11906" w:h="16838"/>
      <w:pgMar w:top="1134" w:right="1134" w:bottom="1134" w:left="1134" w:header="709" w:footer="709" w:gutter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Courier Prime">
    <w:charset w:val="00"/>
    <w:family w:val="modern"/>
    <w:pitch w:val="fixed"/>
    <w:embedRegular r:id="rIdF1" w:fontKey="{B04E2E18-D561-8E2C-D629-745D7FEBBE65}" w:subsetted="1"/>
    <w:embedBold r:id="rIdF2" w:fontKey="{597D13D0-FD6C-CEB5-9F33-B8D30862E6C9}" w:subsetted="1"/>
    <w:embedItalic r:id="rIdF3" w:fontKey="{4255D3F8-9B84-F02A-E73F-56580A307AD3}" w:subsetted="1"/>
  </w:font>
  <w:font w:name="Spectral Medium">
    <w:charset w:val="00"/>
    <w:family w:val="roman"/>
    <w:pitch w:val="variable"/>
    <w:embedRegular r:id="rIdF4" w:fontKey="{E9E37900-8991-F580-31F7-E2E3E34C7918}" w:subsetted="1"/>
  </w:font>
  <w:font w:name="Instrument Sans">
    <w:charset w:val="00"/>
    <w:family w:val="swiss"/>
    <w:pitch w:val="variable"/>
    <w:embedRegular r:id="rIdF5" w:fontKey="{8E59D77C-AF14-E4D4-A18B-2FE0CE0B5C2F}" w:subsetted="1"/>
  </w:font>
</w:fonts>
</file>

<file path=word/settings.xml><?xml version="1.0" encoding="utf-8"?>
<w:settings xmlns:w="http://schemas.openxmlformats.org/wordprocessingml/2006/main">
  <w:embedTrueTypeFonts/>
  <w:saveSubsetFonts/>
</w:settings>
</file>

<file path=word/styles.xml><?xml version="1.0" encoding="utf-8"?>
<w:styles xmlns:w="http://schemas.openxmlformats.org/wordprocessingml/2006/main">
  <w:docDefaults>
    <w:rPrDefault>
      <w:rPr>
        <w:rFonts w:ascii="Courier Prime" w:hAnsi="Courier Prime"/>
        <w:sz w:val="21"/>
      </w:rPr>
    </w:rPrDefault>
  </w:docDefaults>
  <w:style w:type="paragraph" w:styleId="ActoTitle">
    <w:name w:val="Acto Title"/>
    <w:qFormat/>
    <w:pPr>
      <w:keepNext w:val="0"/>
      <w:spacing w:before="120" w:after="0" w:line="276" w:lineRule="auto"/>
      <w:ind w:left="0"/>
    </w:pPr>
    <w:rPr>
      <w:rFonts w:ascii="Spectral Medium" w:hAnsi="Spectral Medium" w:cs="Spectral Medium"/>
      <w:sz w:val="44"/>
    </w:rPr>
  </w:style>
  <w:style w:type="paragraph" w:styleId="ActoMeta">
    <w:name w:val="Acto Meta"/>
    <w:qFormat/>
    <w:pPr>
      <w:keepNext w:val="0"/>
      <w:spacing w:before="60" w:after="0" w:line="276" w:lineRule="auto"/>
      <w:ind w:left="0"/>
    </w:pPr>
    <w:rPr>
      <w:rFonts w:ascii="Instrument Sans" w:hAnsi="Instrument Sans" w:cs="Instrument Sans"/>
      <w:sz w:val="18"/>
      <w:color w:val="6A6355"/>
    </w:rPr>
  </w:style>
  <w:style w:type="paragraph" w:styleId="ActoBody">
    <w:name w:val="Acto Body"/>
    <w:qFormat/>
    <w:pPr>
      <w:keepNext w:val="0"/>
      <w:spacing w:before="120" w:after="0" w:line="276" w:lineRule="auto"/>
      <w:ind w:left="0"/>
    </w:pPr>
    <w:rPr>
      <w:rFonts w:ascii="Instrument Sans" w:hAnsi="Instrument Sans" w:cs="Instrument Sans"/>
      <w:sz w:val="20"/>
    </w:rPr>
  </w:style>
  <w:style w:type="paragraph" w:styleId="ActoHeading">
    <w:name w:val="Acto Heading"/>
    <w:qFormat/>
    <w:pPr>
      <w:keepNext w:val="0"/>
      <w:spacing w:before="360" w:after="0" w:line="276" w:lineRule="auto"/>
      <w:ind w:left="0"/>
    </w:pPr>
    <w:rPr>
      <w:rFonts w:ascii="Spectral Medium" w:hAnsi="Spectral Medium" w:cs="Spectral Medium"/>
      <w:sz w:val="26"/>
    </w:rPr>
  </w:style>
  <w:style w:type="paragraph" w:styleId="ActoWho">
    <w:name w:val="Acto Who"/>
    <w:qFormat/>
    <w:pPr>
      <w:keepNext w:val="0"/>
      <w:spacing w:before="240" w:after="0" w:line="276" w:lineRule="auto"/>
      <w:ind w:left="1800"/>
    </w:pPr>
    <w:rPr>
      <w:rFonts w:ascii="Courier Prime" w:hAnsi="Courier Prime" w:cs="Courier Prime"/>
      <w:sz w:val="21"/>
      <w:b/>
      <w:caps/>
    </w:rPr>
  </w:style>
  <w:style w:type="paragraph" w:styleId="ActoSaid">
    <w:name w:val="Acto Said"/>
    <w:qFormat/>
    <w:pPr>
      <w:keepNext w:val="0"/>
      <w:spacing w:before="0" w:after="0" w:line="276" w:lineRule="auto"/>
      <w:ind w:left="400"/>
    </w:pPr>
    <w:rPr>
      <w:rFonts w:ascii="Courier Prime" w:hAnsi="Courier Prime" w:cs="Courier Prime"/>
      <w:sz w:val="21"/>
    </w:rPr>
  </w:style>
  <w:style w:type="paragraph" w:styleId="ActoDida">
    <w:name w:val="Acto Dida"/>
    <w:qFormat/>
    <w:pPr>
      <w:keepNext w:val="0"/>
      <w:spacing w:before="240" w:after="0" w:line="276" w:lineRule="auto"/>
      <w:ind w:left="400"/>
    </w:pPr>
    <w:rPr>
      <w:rFonts w:ascii="Courier Prime" w:hAnsi="Courier Prime" w:cs="Courier Prime"/>
      <w:sz w:val="21"/>
      <w:i/>
      <w:color w:val="554F45"/>
    </w:rPr>
  </w:style>
  <w:style w:type="paragraph" w:styleId="ActoAct">
    <w:name w:val="Acto Act"/>
    <w:qFormat/>
    <w:pPr>
      <w:keepNext w:val="1"/>
      <w:spacing w:before="480" w:after="0" w:line="276" w:lineRule="auto"/>
      <w:ind w:left="0"/>
      <w:jc w:val="center"/>
      <w:outlineLvl w:val="0"/>
    </w:pPr>
    <w:rPr>
      <w:rFonts w:ascii="Courier Prime" w:hAnsi="Courier Prime" w:cs="Courier Prime"/>
      <w:sz w:val="24"/>
      <w:b/>
      <w:caps/>
    </w:rPr>
  </w:style>
  <w:style w:type="paragraph" w:styleId="ActoScene">
    <w:name w:val="Acto Scene"/>
    <w:qFormat/>
    <w:pPr>
      <w:keepNext w:val="1"/>
      <w:spacing w:before="360" w:after="0" w:line="276" w:lineRule="auto"/>
      <w:ind w:left="0"/>
      <w:outlineLvl w:val="1"/>
    </w:pPr>
    <w:rPr>
      <w:rFonts w:ascii="Courier Prime" w:hAnsi="Courier Prime" w:cs="Courier Prime"/>
      <w:sz w:val="21"/>
      <w:b/>
      <w:caps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Relationship Id="rId2" Type="http://schemas.openxmlformats.org/officeDocument/2006/relationships/settings" Target="settings.xml"/>
<Relationship Id="rId3" Type="http://schemas.openxmlformats.org/officeDocument/2006/relationships/fontTable" Target="fontTable.xml"/>
<Relationship Id="rIdLogo" Type="http://schemas.openxmlformats.org/officeDocument/2006/relationships/image" Target="media/acto-logo.png"/>
</Relationships>
</file>

<file path=word/_rels/fontTable.xml.rels><?xml version="1.0" encoding="UTF-8" standalone="yes"?>
<Relationships xmlns="http://schemas.openxmlformats.org/package/2006/relationships"><Relationship Id="rIdF1" Type="http://schemas.openxmlformats.org/officeDocument/2006/relationships/font" Target="fonts/font1.odttf"/><Relationship Id="rIdF2" Type="http://schemas.openxmlformats.org/officeDocument/2006/relationships/font" Target="fonts/font2.odttf"/><Relationship Id="rIdF3" Type="http://schemas.openxmlformats.org/officeDocument/2006/relationships/font" Target="fonts/font3.odttf"/><Relationship Id="rIdF4" Type="http://schemas.openxmlformats.org/officeDocument/2006/relationships/font" Target="fonts/font4.odttf"/><Relationship Id="rIdF5" Type="http://schemas.openxmlformats.org/officeDocument/2006/relationships/font" Target="fonts/font5.odttf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Das Alibi</dc:title>
  <dc:creator>Acto</dc:creator>
  <cp:keywords>Thriller  ·  Szene zu 3  ·  4 Min.  ·  Weibliche Rolle  ·  Erwachsene  ·  Fortgeschritten</cp:keywords>
  <dc:description>https://acto.re</dc:description>
  <dc:language>de</dc:language>
</cp:coreProperties>
</file>